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410</w:t>
      </w:r>
    </w:p>
    <w:p>
      <w:r>
        <w:t>Bundesgericht (BGE), 2009-04-07, FR</w:t>
      </w:r>
    </w:p>
    <w:p>
      <w:r>
        <w:rPr>
          <w:b/>
        </w:rPr>
        <w:t xml:space="preserve">Quelle: </w:t>
      </w:r>
      <w:r>
        <w:t>https://mcp.opencaselaw.ch/entscheid/bge_135 III 410</w:t>
      </w:r>
    </w:p>
    <w:p>
      <w:r>
        <w:t>FR: ATF 135 III 410</w:t>
      </w:r>
    </w:p>
    <w:p>
      <w:r>
        <w:t>IT: DTF 135 III 410</w:t>
      </w:r>
    </w:p>
    <w:p>
      <w:pPr>
        <w:pStyle w:val="Heading2"/>
      </w:pPr>
      <w:r>
        <w:t>Regeste</w:t>
      </w:r>
    </w:p>
    <w:p>
      <w:r>
        <w:t>Regeste Art. 33 VVG, Art. 18 OR; Berufshaftpflichtversicherungsvertrag (Anwalt); Vertragsauslegung; herkömmliche Tätigkeit des Anwalts. Die herkömmliche Tätigkeit des Anwalts ist durch juristische Beratung geprägt, durch die Verfassung von juristischen Urkunden wie auch durch Unterstützung oder Vertretung von Personen vor einer Verwaltungs- oder Gerichtsbehörde (E. 3.3). Wer als geschäftsführendes Organ von Offshore-Gesellschaften Bankkonten eröffnet und Formulare unterzeichnet, handelt als Verwalter, nicht als Anwalt (E. 3.4).</w:t>
      </w:r>
    </w:p>
    <w:p>
      <w:pPr>
        <w:pStyle w:val="Heading2"/>
      </w:pPr>
      <w:r>
        <w:t>Erwägungen</w:t>
      </w:r>
    </w:p>
    <w:p>
      <w:r>
        <w:rPr>
          <w:b/>
        </w:rPr>
        <w:t>E. 3.1</w:t>
      </w:r>
    </w:p>
    <w:p>
      <w:r>
        <w:t>Le recourant soutient qu'il a exercé une activité mixte, relevant en partie de la profession d'avocat, de sorte que sa responsabilité civile pour cette activité est couverte par l'assurance. La cour cantonale a retenu au contraire que l'activité dommageable avait été exercée en tant qu'organe de gestion des sociétés offshore étrangères et qu'elle n'était pas couverte par le contrat d'assurance.</w:t>
      </w:r>
    </w:p>
    <w:p>
      <w:r>
        <w:rPr>
          <w:b/>
        </w:rPr>
        <w:t>E. 3.2</w:t>
      </w:r>
    </w:p>
    <w:p>
      <w:r>
        <w:t>Selon l' art. 33 LCA , l'assureur répond, sauf disposition contraire de la loi, de tous les événements qui présentent le caractère du risque contre les conséquences duquel l'assurance a été conclue, à moins que le contrat n'exclue certains événements d'une manière précise, non équivoque. Les dispositions d'un contrat d'assurance, de même que les conditions générales qui ont été expressément incorporées, doivent être interprétées selon les mêmes principes que les autres dispositions contractuelles. Le juge doit tout d'abord s'efforcer de déterminer la commune et réelle intention des parties, sans s'arrêter aux expressions ou dénominations inexactes dont elles ont pu se servir, soit BGE 135 III 410 S. 413 par erreur, soit pour déguiser la nature véritable de la convention ( art. 18 al. 1 CO ); s'il y parvient,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 la manifestation de volonté et sur les circonstances, dont la constatation relève du fait.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L' art. 33 LCA précise que c'est à l'assureur qu'il incombe de délimiter avec précision la portée de l'engagement qu'il entend prendre ( ATF 133 III 675 consid. 3.3 p. 681 s. et les références citées).</w:t>
      </w:r>
    </w:p>
    <w:p>
      <w:r>
        <w:rPr>
          <w:b/>
        </w:rPr>
        <w:t>E. 3.3</w:t>
      </w:r>
    </w:p>
    <w:p>
      <w:r>
        <w:t>En l'espèce, le contrat concerne l'activité d'avocat; les conditions générales précisent qu'il fallait une convention spéciale - inexistante en l'espèce - pour couvrir une activité d'administrateur de société ou de gérant d'une entité étrangère. Le recourant, qui est lui- même juriste, a certainement compris correctement le texte clair de ces dispositions contractuelles. A supposer que l'on ait un doute à ce sujet, une interprétation selon la théorie de la confiance ne pourrait manifestement pas aboutir à une conclusion différente, la définition de l'objet du contrat étant claire et précise. Dès lors que le contrat (et les conditions générales qui sont incorporées) font une distinction claire entre l'activité d'avocat (qui est couverte par l'assurance) et l'activité d'administrateur (qui ne l'est pas), il faut nécessairement en déduire que les parties avaient en vue l'activité traditionnelle de l'avocat. Peu importe en conséquence qu'il soit plus ou moins fréquent que des avocats se livrent à d'autres activités professionnelles en faisant valoir leur titre d'avocat ou que BGE 135 III 410 S. 414 des connaissances juridiques soient plus ou moins utiles pour exercer d'autres activités économiques. Il reste évidemment à circonscrire le cadre d'une activité d'avocat. Il n'y a pas de raison de se référer ici au droit genevois, puisque rien ne permet de penser (l'intimée a son siège à N.) que les parties aient voulu définir l'activité d'avocat en fonction du droit genevois. Il convient bien plutôt de se référer au sens ordinaire des mots. Selon le Grand Robert de la langue française, l'avocat est une personne qui, régulièrement inscrite à un barreau, conseille en matière juridique ou contentieuse, assiste et représente ses clients en justice. Des juristes suisses ont défini l'avocat comme une personne physique ayant des connaissances juridiques et l'autorisation requise pour exercer professionnellement et de manière indépendante l'activité consistant à donner des conseils, défendre les intérêts d'autrui et intervenir devant tous les tribunaux d'un ressort pour assister ou représenter son client (BERNARD CORBOZ, Les infractions en droit suisse, vol. II, 2002, n° 10 ad art. 321 CP ; HERBERT BRUNNER, Die Anwaltsgemeinschaft, 1977, p. 6; cf. également: ATF 124 III 363 consid. II/2b p. 366). Par son contenu, l'activité de l'avocat se caractérise donc par des conseils juridiques, la rédaction de projets d'actes juridiques, ainsi que l'assistance ou la représentation d'une personne devant une autorité administrative ou judiciaire. La jurisprudence a déjà eu l'occasion de souligner qu'il fallait distinguer l'activité de l'avocat d'autres activités qui sont également exercées fréquemment par des avocats, en particulier celle d'administrateur d'une société ( ATF 115 Ia 197 consid. 3d/bb p. 199; ATF 114 III 105 consid. 3a p. 107; arrêt 1A.182/2001 du 26 mars 2002 consid. 6.3), celle qui relève de la gestion de fortune et du placement de fond ( ATF 112 Ib 606 ), celle qui consiste exclusivement à effectuer ou encaisser des paiements pour le compte d'un tiers (arrêt 1P.32/2005 du 11 juillet 2005 consid. 3.4).</w:t>
      </w:r>
    </w:p>
    <w:p>
      <w:r>
        <w:rPr>
          <w:b/>
        </w:rPr>
        <w:t>E. 3.4</w:t>
      </w:r>
    </w:p>
    <w:p>
      <w:r>
        <w:t>En l'espèce, on peut tout d'abord observer que l'on ne se trouve pas en présence d'une action en réparation interjetée contre l'avocat par un client qui invoque une mauvaise exécution du mandat. Cette remarque est toutefois sans pertinence, puisque, en vertu de l'art. 1 des conditions particulières de l'assurance, la couverture a été étendue aux prétentions en dommages-intérêts fondées sur la responsabilité civile, c'est-à-dire à des prétentions de tiers reposant sur une base extracontractuelle. BGE 135 III 410 S. 415 Dans l'action en dommages-intérêts, il était soutenu que le recourant avait contribué, avec d'autres personnes, à causer un dommage illicite à un tiers, après avoir mis à disposition quatre sociétés offshore dans lesquelles il s'était fait inscrire comme administrateur, en faisant ouvrir auprès de plusieurs banques des comptes au nom de ces sociétés, agissant en tant qu'organe de celles-ci, et en signant des formulaires A qui faisaient apparaître faussement le nom de l'ayant droit économique, à l'effet de rendre plus difficile l'identification de l'origine des fonds qui ont transité ensuite par ce dispositif. Le recourant a ouvert les comptes bancaires et signé les formulaires A en tant que gérant des sociétés offshore. Il a donc agi en tant qu'administrateur de sociétés, activité qui était clairement exclue de la couverture d'assurance. Même le fait de mettre à disposition des sociétés offshore dans lesquelles le recourant jouait le rôle d'administrateur ne constitue pas une activité traditionnelle d'avocat, dès lors qu'elle est fort éloignée des conseils juridiques et de l'assistance ou de la représentation devant une autorité. En considérant que les actes dommageables invoqués à l'encontre du recourant dans l'action civile ne relevaient pas de l'activité d'avocat (seule couverte par l'assurance), la cour cantonale n'a pas violé le droit fédéral. Le recourant fait grand cas de conseils juridiques qu'il a donnés en avril 1997 au sujet de la structure à mettre en place. Sur ce point, la cour cantonale a constaté, sur la base des propres déclarations du recourant, que cette entrevue n'avait pas eu de suite et qu'il n'avait plus été sollicité dans le même cadre. Elle n'a donc pas vu de lien de causalité entre ces conseils et les événements qui se sont produits ultérieurement. Le constat de l'absence de causalité naturelle relève du fait et lie le Tribunal fédéral ( ATF 130 III 591 consid. 5.3 p. 601, ATF 130 III 699 consid. 4.1 p. 702), en l'absence de toute argumentation précise sur la question d'où l'on pourrait déduire que la causalité a été niée de façon manifestement inexacte ou en violation du droit au sens de l' art. 95 LTF ( art. 105 al. 2 LTF ). Au demeurant, on ne voit pas que de simples projets ou plans puissent constituer en l'espèce un fondement de responsabilité distinct, puisqu'ils apparaissent absorbés par les actes d'exécution accomplis ultérieurement par la même personne. Quant au contenu de la demande en réparation, il relève également des constatations de fait qui lient le Tribunal fédéral. BGE 135 III 410 S. 416</w:t>
      </w:r>
    </w:p>
    <w:p>
      <w:r>
        <w:rPr>
          <w:b/>
        </w:rPr>
        <w:t>E. 3.5</w:t>
      </w:r>
    </w:p>
    <w:p>
      <w:r>
        <w:t>Dès lors que l'activité du recourant sur laquelle se fondait l'action en responsabilité n'était pas une activité d'avocat, elle n'était pas couverte par le contrat conclu avec l'intimée. Il n'y a donc pas lieu de se demander si les frais d'avocat invoqués pourraient constituer des frais de sauvetage au sens des art. 61 et 70 LCA , ces dispositions ne concernant que des frais engagés pour éviter ou réduire un dommage que l'assureur doit supporter (arrêt 5C.18/2006 du 18 octobre 2006 consid. 7.1, in SJ 2007 I p. 238). Pour les mêmes raisons, il n'y a pas davantage à examiner si les frais de défense au pénal auraient pu être pris en compte à ce titre, notamment en regard du caractère intentionnel des infractions en cause ( art. 14 LCA ). Il est également vain de se demander si la déclaration de sinistre a été tardive.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